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r w:rsidR="00E0206F">
        <w:rPr>
          <w:rFonts w:cstheme="minorHAnsi"/>
          <w:sz w:val="24"/>
          <w:szCs w:val="24"/>
        </w:rPr>
        <w:t>Haley</w:t>
      </w:r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0B2229">
        <w:tc>
          <w:tcPr>
            <w:tcW w:w="9242" w:type="dxa"/>
            <w:shd w:val="clear" w:color="auto" w:fill="7030A0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0B2229">
        <w:tc>
          <w:tcPr>
            <w:tcW w:w="9242" w:type="dxa"/>
            <w:shd w:val="clear" w:color="auto" w:fill="7030A0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0B2229" w:rsidRPr="00ED6638" w:rsidRDefault="005C1851" w:rsidP="00A25A1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br/>
      </w:r>
      <w:proofErr w:type="gramStart"/>
      <w:r w:rsidR="00E0206F">
        <w:rPr>
          <w:rFonts w:cstheme="minorHAnsi"/>
          <w:color w:val="000000"/>
        </w:rPr>
        <w:t>Some accurate m</w:t>
      </w:r>
      <w:r>
        <w:rPr>
          <w:rFonts w:cstheme="minorHAnsi"/>
          <w:color w:val="000000"/>
        </w:rPr>
        <w:t xml:space="preserve">easurements </w:t>
      </w:r>
      <w:r w:rsidR="00E0206F">
        <w:rPr>
          <w:rFonts w:cstheme="minorHAnsi"/>
          <w:color w:val="000000"/>
        </w:rPr>
        <w:t>Haley</w:t>
      </w:r>
      <w:r w:rsidR="000B2229">
        <w:rPr>
          <w:rFonts w:cstheme="minorHAnsi"/>
          <w:color w:val="000000"/>
        </w:rPr>
        <w:t>.</w:t>
      </w:r>
      <w:proofErr w:type="gramEnd"/>
      <w:r w:rsidR="000B222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Keep </w:t>
      </w:r>
      <w:r w:rsidR="00E0206F">
        <w:rPr>
          <w:rFonts w:cstheme="minorHAnsi"/>
          <w:color w:val="000000"/>
        </w:rPr>
        <w:t>working</w:t>
      </w:r>
      <w:r>
        <w:rPr>
          <w:rFonts w:cstheme="minorHAnsi"/>
          <w:color w:val="000000"/>
        </w:rPr>
        <w:t xml:space="preserve"> on </w:t>
      </w:r>
      <w:r w:rsidR="00E0206F">
        <w:rPr>
          <w:rFonts w:cstheme="minorHAnsi"/>
          <w:color w:val="000000"/>
        </w:rPr>
        <w:t xml:space="preserve">being accurate. Great to see you understand the metric units. </w:t>
      </w:r>
      <w:r w:rsidR="00E37D0D">
        <w:rPr>
          <w:rFonts w:cstheme="minorHAnsi"/>
          <w:color w:val="000000"/>
        </w:rPr>
        <w:t xml:space="preserve">You worked well in class during this unit and really enjoyed yourself. Keep up the great work! </w:t>
      </w:r>
      <w:r w:rsidR="000B2229">
        <w:rPr>
          <w:rFonts w:cstheme="minorHAnsi"/>
          <w:color w:val="000000"/>
        </w:rPr>
        <w:t>Miss Martini.</w:t>
      </w:r>
    </w:p>
    <w:sectPr w:rsidR="000B2229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B2229"/>
    <w:rsid w:val="000D3A0D"/>
    <w:rsid w:val="00106834"/>
    <w:rsid w:val="00387D26"/>
    <w:rsid w:val="003E6764"/>
    <w:rsid w:val="00511E43"/>
    <w:rsid w:val="005C1851"/>
    <w:rsid w:val="006C0EA3"/>
    <w:rsid w:val="007A1957"/>
    <w:rsid w:val="00A25A1E"/>
    <w:rsid w:val="00A43559"/>
    <w:rsid w:val="00C64E6F"/>
    <w:rsid w:val="00E0206F"/>
    <w:rsid w:val="00E37D0D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2010-06-21T22:38:00Z</dcterms:created>
  <dcterms:modified xsi:type="dcterms:W3CDTF">2010-06-22T08:14:00Z</dcterms:modified>
</cp:coreProperties>
</file>